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516"/>
      </w:tblGrid>
      <w:tr w:rsidR="0070558D" w:rsidRPr="00F31D76" w:rsidTr="009A489D">
        <w:tc>
          <w:tcPr>
            <w:tcW w:w="9857" w:type="dxa"/>
            <w:shd w:val="clear" w:color="auto" w:fill="E0E0E0"/>
          </w:tcPr>
          <w:p w:rsidR="0070558D" w:rsidRPr="00F31D76" w:rsidRDefault="0070558D" w:rsidP="009A489D">
            <w:pPr>
              <w:rPr>
                <w:b/>
                <w:sz w:val="24"/>
                <w:szCs w:val="24"/>
                <w:lang w:val="sr-Cyrl-CS"/>
              </w:rPr>
            </w:pPr>
            <w:r w:rsidRPr="00F31D76">
              <w:rPr>
                <w:b/>
                <w:sz w:val="24"/>
                <w:szCs w:val="24"/>
              </w:rPr>
              <w:t>Стандард 7</w:t>
            </w:r>
            <w:r>
              <w:rPr>
                <w:b/>
                <w:sz w:val="24"/>
                <w:szCs w:val="24"/>
              </w:rPr>
              <w:t>.</w:t>
            </w:r>
            <w:r w:rsidRPr="00F31D76">
              <w:rPr>
                <w:b/>
                <w:sz w:val="24"/>
                <w:szCs w:val="24"/>
              </w:rPr>
              <w:t xml:space="preserve"> Упис студената</w:t>
            </w:r>
          </w:p>
          <w:p w:rsidR="0070558D" w:rsidRPr="00F31D76" w:rsidRDefault="0070558D" w:rsidP="009A489D">
            <w:pPr>
              <w:rPr>
                <w:b/>
                <w:sz w:val="24"/>
                <w:szCs w:val="24"/>
                <w:lang w:val="sr-Cyrl-CS"/>
              </w:rPr>
            </w:pPr>
          </w:p>
          <w:p w:rsidR="0070558D" w:rsidRPr="00F31D76" w:rsidRDefault="0070558D" w:rsidP="00DD04DD">
            <w:pPr>
              <w:jc w:val="both"/>
              <w:rPr>
                <w:sz w:val="24"/>
                <w:szCs w:val="24"/>
                <w:lang w:val="sr-Cyrl-CS"/>
              </w:rPr>
            </w:pPr>
            <w:r w:rsidRPr="00F31D76">
              <w:rPr>
                <w:sz w:val="24"/>
                <w:szCs w:val="24"/>
              </w:rPr>
              <w:t xml:space="preserve">Високошколска установа у складу са </w:t>
            </w:r>
            <w:r w:rsidRPr="00F31D76">
              <w:rPr>
                <w:sz w:val="24"/>
                <w:szCs w:val="24"/>
                <w:lang w:val="sr-Cyrl-CS"/>
              </w:rPr>
              <w:t xml:space="preserve">друштвеним потребама и </w:t>
            </w:r>
            <w:r w:rsidRPr="00F31D76">
              <w:rPr>
                <w:sz w:val="24"/>
                <w:szCs w:val="24"/>
              </w:rPr>
              <w:t xml:space="preserve">својим ресурсима уписује студенте </w:t>
            </w:r>
            <w:r w:rsidRPr="00F31D76">
              <w:rPr>
                <w:sz w:val="24"/>
                <w:szCs w:val="24"/>
                <w:lang w:val="sr-Cyrl-CS"/>
              </w:rPr>
              <w:t>на</w:t>
            </w:r>
            <w:r w:rsidRPr="00F31D76">
              <w:rPr>
                <w:sz w:val="24"/>
                <w:szCs w:val="24"/>
              </w:rPr>
              <w:t xml:space="preserve"> </w:t>
            </w:r>
            <w:r w:rsidRPr="00F31D76">
              <w:rPr>
                <w:sz w:val="24"/>
                <w:szCs w:val="24"/>
                <w:lang w:val="sr-Cyrl-CS"/>
              </w:rPr>
              <w:t>одговарајући</w:t>
            </w:r>
            <w:r w:rsidRPr="00F31D76">
              <w:rPr>
                <w:sz w:val="24"/>
                <w:szCs w:val="24"/>
              </w:rPr>
              <w:t xml:space="preserve"> студијски програм на основу успеха у претходном школовању и провере њиховог знања, склоности и способности.</w:t>
            </w:r>
          </w:p>
          <w:p w:rsidR="0070558D" w:rsidRPr="00F31D76" w:rsidRDefault="0070558D" w:rsidP="009A489D">
            <w:pPr>
              <w:rPr>
                <w:sz w:val="24"/>
                <w:szCs w:val="24"/>
                <w:lang w:val="sr-Cyrl-CS"/>
              </w:rPr>
            </w:pPr>
          </w:p>
        </w:tc>
      </w:tr>
      <w:tr w:rsidR="0070558D" w:rsidRPr="00F31D76" w:rsidTr="009A489D">
        <w:tc>
          <w:tcPr>
            <w:tcW w:w="9857" w:type="dxa"/>
          </w:tcPr>
          <w:p w:rsidR="0070558D" w:rsidRDefault="0070558D" w:rsidP="007924F6">
            <w:pPr>
              <w:jc w:val="both"/>
              <w:rPr>
                <w:sz w:val="24"/>
                <w:szCs w:val="24"/>
              </w:rPr>
            </w:pPr>
            <w:r w:rsidRPr="00F31D76">
              <w:rPr>
                <w:b/>
                <w:sz w:val="24"/>
                <w:szCs w:val="24"/>
                <w:lang w:val="sr-Cyrl-CS"/>
              </w:rPr>
              <w:t xml:space="preserve">Опис </w:t>
            </w:r>
            <w:r w:rsidRPr="00F31D76">
              <w:rPr>
                <w:sz w:val="24"/>
                <w:szCs w:val="24"/>
                <w:lang w:val="sr-Cyrl-CS"/>
              </w:rPr>
              <w:t>(највише 500 речи)</w:t>
            </w:r>
          </w:p>
          <w:p w:rsidR="00DD04DD" w:rsidRPr="00DD04DD" w:rsidRDefault="00DD04DD" w:rsidP="007924F6">
            <w:pPr>
              <w:jc w:val="both"/>
              <w:rPr>
                <w:sz w:val="24"/>
                <w:szCs w:val="24"/>
              </w:rPr>
            </w:pPr>
          </w:p>
          <w:p w:rsidR="007924F6" w:rsidRPr="00DD04DD" w:rsidRDefault="007924F6" w:rsidP="007924F6">
            <w:pPr>
              <w:jc w:val="both"/>
              <w:rPr>
                <w:sz w:val="22"/>
                <w:szCs w:val="22"/>
                <w:lang w:val="sr-Cyrl-CS"/>
              </w:rPr>
            </w:pPr>
            <w:r w:rsidRPr="00DD04DD">
              <w:rPr>
                <w:sz w:val="22"/>
                <w:szCs w:val="22"/>
                <w:lang w:val="sr-Cyrl-CS"/>
              </w:rPr>
              <w:t xml:space="preserve">Универзитет у Београду – Рударско-геолошки факултет уписује студенте на студијски програм </w:t>
            </w:r>
            <w:r w:rsidRPr="00DD04DD">
              <w:rPr>
                <w:sz w:val="22"/>
                <w:szCs w:val="22"/>
              </w:rPr>
              <w:t>Геологија мастер</w:t>
            </w:r>
            <w:r w:rsidRPr="00DD04DD">
              <w:rPr>
                <w:sz w:val="22"/>
                <w:szCs w:val="22"/>
                <w:lang w:val="sr-Cyrl-CS"/>
              </w:rPr>
              <w:t xml:space="preserve"> академских студија према друштвеним потребама и постојећим ресурсима високошколске установе. Постојећи ресурси одговарају, како у погледу просторних, тако и у погледу кадровских могућности факултета. Студенти се при упису опредељују за један од два изборна модула.</w:t>
            </w:r>
          </w:p>
          <w:p w:rsidR="007924F6" w:rsidRPr="00DD04DD" w:rsidRDefault="007924F6" w:rsidP="007924F6">
            <w:pPr>
              <w:jc w:val="both"/>
              <w:rPr>
                <w:sz w:val="22"/>
                <w:szCs w:val="22"/>
                <w:lang w:val="sr-Cyrl-CS"/>
              </w:rPr>
            </w:pPr>
            <w:r w:rsidRPr="00DD04DD">
              <w:rPr>
                <w:sz w:val="22"/>
                <w:szCs w:val="22"/>
                <w:lang w:val="sr-Cyrl-CS"/>
              </w:rPr>
              <w:t>Високошколска установа организује упис на студијски програм према свом</w:t>
            </w:r>
            <w:r w:rsidRPr="00DD04DD">
              <w:rPr>
                <w:sz w:val="22"/>
                <w:szCs w:val="22"/>
              </w:rPr>
              <w:t xml:space="preserve"> </w:t>
            </w:r>
            <w:r w:rsidRPr="00DD04DD">
              <w:rPr>
                <w:sz w:val="22"/>
                <w:szCs w:val="22"/>
                <w:lang w:val="sr-Cyrl-CS"/>
              </w:rPr>
              <w:t>Статуту, Статуту Универзитета у Београду и Закону о високом образовању. Право на упис на студијски програм Геологија, мастер академских студија имају сва лица са претходно стеченим звањем дипломирани геолог или лица која су у току основних академских студија, на неком од сродних студијских програма на истој или другој високошколској установи, стекла 240 ЕСПБ. Упис на овај студијски програм омогућен је свим лицима без обзира на расу, боју коже, пол, сексуалну оријентацију, етничко, национално или социјално порекло, језик, вероиспосвест, политичко мишљење, статус стечен рођењем, постојање сензорног или моторног хе</w:t>
            </w:r>
            <w:bookmarkStart w:id="0" w:name="_GoBack"/>
            <w:bookmarkEnd w:id="0"/>
            <w:r w:rsidRPr="00DD04DD">
              <w:rPr>
                <w:sz w:val="22"/>
                <w:szCs w:val="22"/>
                <w:lang w:val="sr-Cyrl-CS"/>
              </w:rPr>
              <w:t>ндикепа или имовинско стање.</w:t>
            </w:r>
          </w:p>
          <w:p w:rsidR="007924F6" w:rsidRPr="00DD04DD" w:rsidRDefault="007924F6" w:rsidP="007924F6">
            <w:pPr>
              <w:jc w:val="both"/>
              <w:rPr>
                <w:sz w:val="22"/>
                <w:szCs w:val="22"/>
                <w:lang w:val="sr-Cyrl-CS"/>
              </w:rPr>
            </w:pPr>
          </w:p>
          <w:p w:rsidR="007924F6" w:rsidRPr="00DD04DD" w:rsidRDefault="007924F6" w:rsidP="007924F6">
            <w:pPr>
              <w:jc w:val="both"/>
              <w:rPr>
                <w:sz w:val="22"/>
                <w:szCs w:val="22"/>
                <w:lang w:val="sr-Cyrl-CS"/>
              </w:rPr>
            </w:pPr>
            <w:r w:rsidRPr="00DD04DD">
              <w:rPr>
                <w:sz w:val="22"/>
                <w:szCs w:val="22"/>
                <w:lang w:val="sr-Cyrl-CS"/>
              </w:rPr>
              <w:t xml:space="preserve">Настава на студијском програму Геологија мастер академских студија изводи се на српском језику и студент се може уписати на програм ако познаје српски језик. Студенти из иностранства могу се уписати на студијски програм у оквиру програма међународне размене студената (нпр. </w:t>
            </w:r>
            <w:r w:rsidRPr="00DD04DD">
              <w:rPr>
                <w:sz w:val="22"/>
                <w:szCs w:val="22"/>
              </w:rPr>
              <w:t xml:space="preserve">CEEPUS – Central European Exchange Program for University Studies) </w:t>
            </w:r>
            <w:r w:rsidRPr="00DD04DD">
              <w:rPr>
                <w:sz w:val="22"/>
                <w:szCs w:val="22"/>
                <w:lang w:val="sr-Cyrl-CS"/>
              </w:rPr>
              <w:t xml:space="preserve">и имају право слушања и полагања предмета уколико је обезбеђено да се на тим предметима настава изводи на енглеском језику. Студент се уписује у статусу студента који се финансира из буџета или студента који се сам финансира. </w:t>
            </w:r>
          </w:p>
          <w:p w:rsidR="007924F6" w:rsidRPr="00C74FC2" w:rsidRDefault="007924F6" w:rsidP="007924F6">
            <w:pPr>
              <w:jc w:val="both"/>
              <w:rPr>
                <w:sz w:val="24"/>
                <w:szCs w:val="24"/>
                <w:lang w:val="sr-Cyrl-CS"/>
              </w:rPr>
            </w:pPr>
          </w:p>
          <w:p w:rsidR="0070558D" w:rsidRPr="00F62BEB" w:rsidRDefault="0070558D" w:rsidP="007924F6">
            <w:pPr>
              <w:jc w:val="both"/>
              <w:rPr>
                <w:sz w:val="24"/>
                <w:szCs w:val="24"/>
              </w:rPr>
            </w:pPr>
          </w:p>
          <w:p w:rsidR="0070558D" w:rsidRDefault="0090418A" w:rsidP="007924F6">
            <w:pPr>
              <w:jc w:val="both"/>
              <w:rPr>
                <w:sz w:val="24"/>
                <w:szCs w:val="24"/>
                <w:lang w:val="sr-Cyrl-CS"/>
              </w:rPr>
            </w:pPr>
            <w:hyperlink r:id="rId5" w:history="1">
              <w:r w:rsidR="0070558D" w:rsidRPr="0090418A">
                <w:rPr>
                  <w:rStyle w:val="Hyperlink"/>
                  <w:b/>
                  <w:sz w:val="24"/>
                  <w:szCs w:val="24"/>
                  <w:lang w:val="sr-Cyrl-CS"/>
                </w:rPr>
                <w:t>Табела 7.</w:t>
              </w:r>
              <w:r w:rsidR="0070558D" w:rsidRPr="0090418A">
                <w:rPr>
                  <w:rStyle w:val="Hyperlink"/>
                  <w:b/>
                  <w:sz w:val="24"/>
                  <w:szCs w:val="24"/>
                  <w:lang w:val="ru-RU"/>
                </w:rPr>
                <w:t>1</w:t>
              </w:r>
            </w:hyperlink>
            <w:r w:rsidR="0070558D" w:rsidRPr="0068165B">
              <w:rPr>
                <w:b/>
                <w:sz w:val="24"/>
                <w:szCs w:val="24"/>
                <w:lang w:val="sr-Cyrl-CS"/>
              </w:rPr>
              <w:t xml:space="preserve"> </w:t>
            </w:r>
            <w:r w:rsidR="0070558D" w:rsidRPr="0068165B">
              <w:rPr>
                <w:sz w:val="24"/>
                <w:szCs w:val="24"/>
                <w:lang w:val="sr-Cyrl-CS"/>
              </w:rPr>
              <w:t>Преглед броја студената који су уписани на студијски програм по годинама студија у текућој школској години</w:t>
            </w:r>
          </w:p>
          <w:p w:rsidR="0090418A" w:rsidRPr="0090418A" w:rsidRDefault="0090418A" w:rsidP="007924F6">
            <w:pPr>
              <w:jc w:val="both"/>
              <w:rPr>
                <w:b/>
                <w:sz w:val="24"/>
                <w:szCs w:val="24"/>
                <w:lang w:val="sr-Cyrl-CS"/>
              </w:rPr>
            </w:pPr>
            <w:hyperlink r:id="rId6" w:history="1">
              <w:r w:rsidRPr="0090418A">
                <w:rPr>
                  <w:rStyle w:val="Hyperlink"/>
                  <w:b/>
                  <w:sz w:val="24"/>
                  <w:szCs w:val="24"/>
                  <w:lang w:val="sr-Cyrl-CS"/>
                </w:rPr>
                <w:t>Табела 7.2</w:t>
              </w:r>
            </w:hyperlink>
            <w:r>
              <w:rPr>
                <w:sz w:val="24"/>
                <w:szCs w:val="24"/>
                <w:lang w:val="sr-Cyrl-CS"/>
              </w:rPr>
              <w:t xml:space="preserve"> </w:t>
            </w:r>
            <w:r w:rsidRPr="0090418A">
              <w:rPr>
                <w:sz w:val="24"/>
                <w:szCs w:val="24"/>
                <w:lang w:val="sr-Cyrl-CS"/>
              </w:rPr>
              <w:t>Преглед броја студената који су уписани на студијски програм по годинама студија у текућој школској години</w:t>
            </w:r>
          </w:p>
          <w:p w:rsidR="0070558D" w:rsidRPr="00F31D76" w:rsidRDefault="0070558D" w:rsidP="007924F6">
            <w:pPr>
              <w:jc w:val="both"/>
              <w:rPr>
                <w:sz w:val="24"/>
                <w:szCs w:val="24"/>
              </w:rPr>
            </w:pPr>
          </w:p>
        </w:tc>
      </w:tr>
      <w:tr w:rsidR="0070558D" w:rsidRPr="00F31D76" w:rsidTr="009A489D">
        <w:tc>
          <w:tcPr>
            <w:tcW w:w="9857" w:type="dxa"/>
          </w:tcPr>
          <w:p w:rsidR="0070558D" w:rsidRPr="00F31D76" w:rsidRDefault="0070558D" w:rsidP="007924F6">
            <w:pPr>
              <w:jc w:val="both"/>
              <w:rPr>
                <w:b/>
                <w:sz w:val="24"/>
                <w:szCs w:val="24"/>
                <w:lang w:val="sr-Cyrl-CS"/>
              </w:rPr>
            </w:pPr>
            <w:r w:rsidRPr="00F31D76">
              <w:rPr>
                <w:b/>
                <w:sz w:val="24"/>
                <w:szCs w:val="24"/>
                <w:lang w:val="sr-Cyrl-CS"/>
              </w:rPr>
              <w:t xml:space="preserve">Евиденција: </w:t>
            </w:r>
            <w:r w:rsidRPr="0068165B">
              <w:rPr>
                <w:sz w:val="24"/>
                <w:szCs w:val="24"/>
                <w:lang w:val="sr-Cyrl-CS"/>
              </w:rPr>
              <w:t>Конкурс за упис студената</w:t>
            </w:r>
            <w:r>
              <w:rPr>
                <w:sz w:val="24"/>
                <w:szCs w:val="24"/>
                <w:lang w:val="en-US"/>
              </w:rPr>
              <w:t xml:space="preserve"> </w:t>
            </w:r>
            <w:r w:rsidRPr="0068165B">
              <w:rPr>
                <w:b/>
                <w:sz w:val="24"/>
                <w:szCs w:val="24"/>
                <w:lang w:val="sr-Cyrl-CS"/>
              </w:rPr>
              <w:t>-</w:t>
            </w:r>
            <w:r>
              <w:rPr>
                <w:b/>
                <w:sz w:val="24"/>
                <w:szCs w:val="24"/>
                <w:lang w:val="en-US"/>
              </w:rPr>
              <w:t xml:space="preserve"> </w:t>
            </w:r>
            <w:hyperlink r:id="rId7" w:history="1">
              <w:r w:rsidRPr="0090418A">
                <w:rPr>
                  <w:rStyle w:val="Hyperlink"/>
                  <w:b/>
                  <w:sz w:val="24"/>
                  <w:szCs w:val="24"/>
                  <w:lang w:val="sr-Cyrl-CS"/>
                </w:rPr>
                <w:t>Прилог 7.1</w:t>
              </w:r>
            </w:hyperlink>
            <w:r w:rsidRPr="0068165B">
              <w:rPr>
                <w:b/>
                <w:sz w:val="24"/>
                <w:szCs w:val="24"/>
                <w:lang w:val="sr-Cyrl-CS"/>
              </w:rPr>
              <w:t xml:space="preserve">, </w:t>
            </w:r>
            <w:r w:rsidRPr="0068165B">
              <w:rPr>
                <w:sz w:val="24"/>
                <w:szCs w:val="24"/>
                <w:lang w:val="sr-Cyrl-CS"/>
              </w:rPr>
              <w:t>Решење о именовању комисије за пријем студената</w:t>
            </w:r>
            <w:r>
              <w:rPr>
                <w:sz w:val="24"/>
                <w:szCs w:val="24"/>
                <w:lang w:val="en-US"/>
              </w:rPr>
              <w:t xml:space="preserve"> </w:t>
            </w:r>
            <w:r w:rsidRPr="0068165B">
              <w:rPr>
                <w:b/>
                <w:sz w:val="24"/>
                <w:szCs w:val="24"/>
                <w:lang w:val="sr-Cyrl-CS"/>
              </w:rPr>
              <w:t>-</w:t>
            </w:r>
            <w:r>
              <w:rPr>
                <w:b/>
                <w:sz w:val="24"/>
                <w:szCs w:val="24"/>
                <w:lang w:val="en-US"/>
              </w:rPr>
              <w:t xml:space="preserve"> </w:t>
            </w:r>
            <w:hyperlink r:id="rId8" w:history="1">
              <w:r w:rsidRPr="0090418A">
                <w:rPr>
                  <w:rStyle w:val="Hyperlink"/>
                  <w:b/>
                  <w:sz w:val="24"/>
                  <w:szCs w:val="24"/>
                  <w:lang w:val="sr-Cyrl-CS"/>
                </w:rPr>
                <w:t>Прилог 7.2</w:t>
              </w:r>
            </w:hyperlink>
            <w:r w:rsidRPr="0068165B">
              <w:rPr>
                <w:b/>
                <w:sz w:val="24"/>
                <w:szCs w:val="24"/>
                <w:lang w:val="sr-Cyrl-CS"/>
              </w:rPr>
              <w:t xml:space="preserve">, </w:t>
            </w:r>
            <w:r w:rsidRPr="0068165B">
              <w:rPr>
                <w:sz w:val="24"/>
                <w:szCs w:val="24"/>
                <w:lang w:val="sr-Cyrl-CS"/>
              </w:rPr>
              <w:t>Услови уписа студената (извод из Статута институције, или други документ)</w:t>
            </w:r>
            <w:r>
              <w:rPr>
                <w:sz w:val="24"/>
                <w:szCs w:val="24"/>
                <w:lang w:val="en-US"/>
              </w:rPr>
              <w:t xml:space="preserve"> </w:t>
            </w:r>
            <w:r w:rsidRPr="0068165B">
              <w:rPr>
                <w:sz w:val="24"/>
                <w:szCs w:val="24"/>
                <w:lang w:val="sr-Cyrl-CS"/>
              </w:rPr>
              <w:t>-</w:t>
            </w:r>
            <w:r>
              <w:rPr>
                <w:sz w:val="24"/>
                <w:szCs w:val="24"/>
                <w:lang w:val="en-US"/>
              </w:rPr>
              <w:t xml:space="preserve"> </w:t>
            </w:r>
            <w:hyperlink r:id="rId9" w:history="1">
              <w:r w:rsidRPr="0090418A">
                <w:rPr>
                  <w:rStyle w:val="Hyperlink"/>
                  <w:b/>
                  <w:sz w:val="24"/>
                  <w:szCs w:val="24"/>
                  <w:lang w:val="sr-Cyrl-CS"/>
                </w:rPr>
                <w:t>Прилог 7.3</w:t>
              </w:r>
            </w:hyperlink>
          </w:p>
        </w:tc>
      </w:tr>
    </w:tbl>
    <w:p w:rsidR="004B7E2C" w:rsidRDefault="004B7E2C" w:rsidP="007924F6">
      <w:pPr>
        <w:jc w:val="both"/>
      </w:pPr>
    </w:p>
    <w:sectPr w:rsidR="004B7E2C" w:rsidSect="00BD588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useFELayout/>
    <w:compatSetting w:name="compatibilityMode" w:uri="http://schemas.microsoft.com/office/word" w:val="12"/>
  </w:compat>
  <w:rsids>
    <w:rsidRoot w:val="0070558D"/>
    <w:rsid w:val="0046474B"/>
    <w:rsid w:val="004B7E2C"/>
    <w:rsid w:val="0070558D"/>
    <w:rsid w:val="007924F6"/>
    <w:rsid w:val="0090418A"/>
    <w:rsid w:val="009556B7"/>
    <w:rsid w:val="00BD5886"/>
    <w:rsid w:val="00BF04DB"/>
    <w:rsid w:val="00C74FC2"/>
    <w:rsid w:val="00DD04DD"/>
    <w:rsid w:val="00F6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8D"/>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1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8D"/>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Prilozi/Prilog%207.2%20Resenje%20o%20imenovanju%20komisije%20za%20prijem%20studenata%20MAS.pdf" TargetMode="External"/><Relationship Id="rId3" Type="http://schemas.openxmlformats.org/officeDocument/2006/relationships/settings" Target="settings.xml"/><Relationship Id="rId7" Type="http://schemas.openxmlformats.org/officeDocument/2006/relationships/hyperlink" Target="../Prilozi/Prilog%207.1%20Konkurs%20za%20upis%20studenata%20MAS.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abele/Tabela%207.2%20master%20studije.doc" TargetMode="External"/><Relationship Id="rId11" Type="http://schemas.openxmlformats.org/officeDocument/2006/relationships/theme" Target="theme/theme1.xml"/><Relationship Id="rId5" Type="http://schemas.openxmlformats.org/officeDocument/2006/relationships/hyperlink" Target="../Tabele/Tabela%207.1%20master%20akademske%20studije.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rilozi/Prilog%207.3%20Uslovi%20upisa%20studen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Rosic</dc:creator>
  <cp:keywords/>
  <dc:description/>
  <cp:lastModifiedBy>Zorica Lazarevic</cp:lastModifiedBy>
  <cp:revision>6</cp:revision>
  <dcterms:created xsi:type="dcterms:W3CDTF">2017-09-08T10:01:00Z</dcterms:created>
  <dcterms:modified xsi:type="dcterms:W3CDTF">2017-11-09T00:07:00Z</dcterms:modified>
</cp:coreProperties>
</file>